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6742" w14:textId="3A896B18" w:rsidR="006D2306" w:rsidRPr="002F70A2" w:rsidRDefault="00BF5975">
      <w:pPr>
        <w:pStyle w:val="P68B1DB1-Normale1"/>
        <w:ind w:left="-284" w:right="-710"/>
        <w:jc w:val="both"/>
        <w:rPr>
          <w:lang w:val="fr-FR"/>
        </w:rPr>
      </w:pPr>
      <w:r w:rsidRPr="002F70A2">
        <w:rPr>
          <w:lang w:val="fr-FR"/>
        </w:rPr>
        <w:t>Communiqué de presse n. 25/2024</w:t>
      </w:r>
    </w:p>
    <w:p w14:paraId="1FFCEBD9" w14:textId="77777777" w:rsidR="006D2306" w:rsidRPr="002F70A2" w:rsidRDefault="006D2306">
      <w:pPr>
        <w:ind w:left="-284" w:right="-710"/>
        <w:jc w:val="both"/>
        <w:rPr>
          <w:rFonts w:cs="Times New Roman"/>
          <w:i/>
          <w:sz w:val="10"/>
          <w:lang w:val="fr-FR"/>
        </w:rPr>
      </w:pPr>
    </w:p>
    <w:p w14:paraId="5BC81CA8" w14:textId="34E357C0" w:rsidR="006D2306" w:rsidRPr="00A8685C" w:rsidRDefault="00BF5975" w:rsidP="004D696C">
      <w:pPr>
        <w:pStyle w:val="P68B1DB1-Normale2"/>
        <w:ind w:left="-284" w:right="-710"/>
        <w:jc w:val="both"/>
        <w:rPr>
          <w:sz w:val="26"/>
          <w:szCs w:val="26"/>
          <w:lang w:val="fr-FR"/>
        </w:rPr>
      </w:pPr>
      <w:r w:rsidRPr="00A8685C">
        <w:rPr>
          <w:sz w:val="26"/>
          <w:szCs w:val="26"/>
          <w:lang w:val="fr-FR"/>
        </w:rPr>
        <w:t>Machines agricoles</w:t>
      </w:r>
      <w:r w:rsidR="002F70A2" w:rsidRPr="00A8685C">
        <w:rPr>
          <w:sz w:val="26"/>
          <w:szCs w:val="26"/>
          <w:lang w:val="fr-FR"/>
        </w:rPr>
        <w:t> </w:t>
      </w:r>
      <w:r w:rsidRPr="00A8685C">
        <w:rPr>
          <w:sz w:val="26"/>
          <w:szCs w:val="26"/>
          <w:lang w:val="fr-FR"/>
        </w:rPr>
        <w:t>: les marchés émergents d'Asie du Sud-Est et d'Afrique</w:t>
      </w:r>
    </w:p>
    <w:p w14:paraId="270038B7" w14:textId="77777777" w:rsidR="006D2306" w:rsidRPr="002F70A2" w:rsidRDefault="006D2306">
      <w:pPr>
        <w:ind w:left="-284" w:right="-710"/>
        <w:jc w:val="both"/>
        <w:rPr>
          <w:rFonts w:cs="Times New Roman"/>
          <w:b/>
          <w:sz w:val="10"/>
          <w:lang w:val="fr-FR"/>
        </w:rPr>
      </w:pPr>
    </w:p>
    <w:p w14:paraId="4E8C9C98" w14:textId="77777777" w:rsidR="006D2306" w:rsidRPr="002F70A2" w:rsidRDefault="00BF5975">
      <w:pPr>
        <w:pStyle w:val="P68B1DB1-Normale3"/>
        <w:ind w:left="-284" w:right="-710"/>
        <w:jc w:val="both"/>
        <w:rPr>
          <w:lang w:val="fr-FR"/>
        </w:rPr>
      </w:pPr>
      <w:r w:rsidRPr="002F70A2">
        <w:rPr>
          <w:lang w:val="fr-FR"/>
        </w:rPr>
        <w:t>Au cours des prochaines années, la géographie des marchés placera encore l'Europe et l'Amérique du Nord au premier plan, mais des pays tels que l’Indonésie, le Vietnam, les Philippines et la Thaïlande, qui enregistrent déjà une croissance des importations de machines spécifiques, joueront un rôle de plus en plus important. La croissance démographique - à l'origine de cette demande croissante de technologies pour l’agriculture - sera également déterminante en Afrique, à commencer par le Nigéria, l'Éthiopie et la République démocratique du Congo.</w:t>
      </w:r>
    </w:p>
    <w:p w14:paraId="03606470" w14:textId="77777777" w:rsidR="006D2306" w:rsidRPr="002F70A2" w:rsidRDefault="006D2306">
      <w:pPr>
        <w:ind w:left="-284" w:right="-710"/>
        <w:jc w:val="both"/>
        <w:rPr>
          <w:rFonts w:cs="Times New Roman"/>
          <w:b/>
          <w:i/>
          <w:sz w:val="10"/>
          <w:lang w:val="fr-FR"/>
        </w:rPr>
      </w:pPr>
    </w:p>
    <w:p w14:paraId="23F9E1C6" w14:textId="63E2684D" w:rsidR="006D2306" w:rsidRPr="002F70A2" w:rsidRDefault="00BF5975">
      <w:pPr>
        <w:pStyle w:val="P68B1DB1-Normale4"/>
        <w:ind w:left="-284" w:right="-710"/>
        <w:jc w:val="both"/>
        <w:rPr>
          <w:lang w:val="fr-FR"/>
        </w:rPr>
      </w:pPr>
      <w:r w:rsidRPr="002F70A2">
        <w:rPr>
          <w:lang w:val="fr-FR"/>
        </w:rPr>
        <w:t xml:space="preserve">Le secteur des machines agricoles devrait connaître une croissance importante au cours des prochaines années, mais la géographie des marchés est destinée à changer. Les grandes places d'Europe et d'Amérique du Nord maintiendront un haut niveau d'investissement pour garantir des </w:t>
      </w:r>
      <w:r w:rsidR="00A96993">
        <w:rPr>
          <w:lang w:val="fr-FR"/>
        </w:rPr>
        <w:t>standards</w:t>
      </w:r>
      <w:r w:rsidRPr="002F70A2">
        <w:rPr>
          <w:lang w:val="fr-FR"/>
        </w:rPr>
        <w:t xml:space="preserve"> de qualité élevés, et les deux géants asiatiques, l'Inde et la Chine</w:t>
      </w:r>
      <w:r w:rsidR="00A96993">
        <w:rPr>
          <w:lang w:val="fr-FR"/>
        </w:rPr>
        <w:t>,</w:t>
      </w:r>
      <w:r w:rsidRPr="002F70A2">
        <w:rPr>
          <w:lang w:val="fr-FR"/>
        </w:rPr>
        <w:t xml:space="preserve"> auront tendance à stabiliser la mécanisation sur les grandes quantités atteintes ces dernières années, mais les marchés émergents seront ceux d'Asie du Sud-Est et d'Afrique. C'est le scénario décrit cet après-midi à Bologne lors de la conférence de présentation d'EIMA International, le salon mondial de la mécanique agricole, qui aura lieu au parc des expositions de la ville à partir de demain 6 novembre jusqu'au dimanche 10.</w:t>
      </w:r>
    </w:p>
    <w:p w14:paraId="44572E8A" w14:textId="77777777" w:rsidR="006D2306" w:rsidRPr="002F70A2" w:rsidRDefault="00BF5975">
      <w:pPr>
        <w:pStyle w:val="P68B1DB1-Normale4"/>
        <w:ind w:left="-284" w:right="-710"/>
        <w:jc w:val="both"/>
        <w:rPr>
          <w:lang w:val="fr-FR"/>
        </w:rPr>
      </w:pPr>
      <w:r w:rsidRPr="002F70A2">
        <w:rPr>
          <w:lang w:val="fr-FR"/>
        </w:rPr>
        <w:t xml:space="preserve">La demande de machines agricoles devrait croître de manière très importante - comme l'a expliqué </w:t>
      </w:r>
      <w:proofErr w:type="spellStart"/>
      <w:r w:rsidRPr="002F70A2">
        <w:rPr>
          <w:lang w:val="fr-FR"/>
        </w:rPr>
        <w:t>Mariateresa</w:t>
      </w:r>
      <w:proofErr w:type="spellEnd"/>
      <w:r w:rsidRPr="002F70A2">
        <w:rPr>
          <w:lang w:val="fr-FR"/>
        </w:rPr>
        <w:t xml:space="preserve"> </w:t>
      </w:r>
      <w:proofErr w:type="spellStart"/>
      <w:r w:rsidRPr="002F70A2">
        <w:rPr>
          <w:lang w:val="fr-FR"/>
        </w:rPr>
        <w:t>Maschio</w:t>
      </w:r>
      <w:proofErr w:type="spellEnd"/>
      <w:r w:rsidRPr="002F70A2">
        <w:rPr>
          <w:lang w:val="fr-FR"/>
        </w:rPr>
        <w:t xml:space="preserve">, présidente de FederUnacoma, lors de la conférence - dans les régions du monde où le développement de l'agriculture est fort en raison de la croissance démographique, et où des dotations technologiques beaucoup plus importantes que celles actuelles sont donc nécessaires. </w:t>
      </w:r>
    </w:p>
    <w:p w14:paraId="5FA13428" w14:textId="290842E5" w:rsidR="006D2306" w:rsidRPr="002F70A2" w:rsidRDefault="00BF5975">
      <w:pPr>
        <w:pStyle w:val="P68B1DB1-Normale4"/>
        <w:ind w:left="-284" w:right="-710"/>
        <w:jc w:val="both"/>
        <w:rPr>
          <w:lang w:val="fr-FR"/>
        </w:rPr>
      </w:pPr>
      <w:r w:rsidRPr="002F70A2">
        <w:rPr>
          <w:lang w:val="fr-FR"/>
        </w:rPr>
        <w:t xml:space="preserve"> La conférence a illustré comme l’Indonésie est un pays</w:t>
      </w:r>
      <w:r w:rsidR="00F85B9C">
        <w:rPr>
          <w:lang w:val="fr-FR"/>
        </w:rPr>
        <w:t xml:space="preserve"> clé, comptant </w:t>
      </w:r>
      <w:r w:rsidRPr="002F70A2">
        <w:rPr>
          <w:lang w:val="fr-FR"/>
        </w:rPr>
        <w:t>déjà près de 300 millions d'habitants, ce qui en fait l'un des plus peuplés au monde et qui est destiné à accroître encore son poids démographique dans les années à venir. En Indonésie, les importations de machines agricoles sont en croissance constante depuis 15 ans et sont passées d'une valeur de 140 millions d'euros en 2009 à une valeur de près de 700 millions d'euros en 2023 (croissance moyenne de 8,6 % par an), avec une augmentation prévue de 6,7 % par an au cours des quatre prochaines années 2024-2027.</w:t>
      </w:r>
    </w:p>
    <w:p w14:paraId="465ABC12" w14:textId="34E51986" w:rsidR="006D2306" w:rsidRPr="002F70A2" w:rsidRDefault="00BF5975">
      <w:pPr>
        <w:pStyle w:val="P68B1DB1-Normale4"/>
        <w:ind w:left="-284" w:right="-710"/>
        <w:jc w:val="both"/>
        <w:rPr>
          <w:b/>
          <w:i/>
          <w:lang w:val="fr-FR"/>
        </w:rPr>
      </w:pPr>
      <w:r w:rsidRPr="002F70A2">
        <w:rPr>
          <w:lang w:val="fr-FR"/>
        </w:rPr>
        <w:t xml:space="preserve">Mais les importations de machines agricoles dans les autres pays peuplés d'Asie du Sud-Est sont également en </w:t>
      </w:r>
      <w:r w:rsidR="00A96993">
        <w:rPr>
          <w:lang w:val="fr-FR"/>
        </w:rPr>
        <w:t xml:space="preserve">pleine </w:t>
      </w:r>
      <w:r w:rsidRPr="002F70A2">
        <w:rPr>
          <w:lang w:val="fr-FR"/>
        </w:rPr>
        <w:t xml:space="preserve">croissance : le Vietnam (100 millions d'habitants) prévoit une augmentation des importations de 6,2 % par an au cours des quatre prochaines années ; les Philippines (110 millions d'habitants) devraient augmenter les importations de 7,8 % au cours des quatre prochaines années ; tandis que la Thaïlande (71 millions d'habitants), après une croissance très lente au cours des quinze dernières années de seulement 1 % par an en moyenne, devrait passer </w:t>
      </w:r>
      <w:r w:rsidR="00A96993" w:rsidRPr="002F70A2">
        <w:rPr>
          <w:lang w:val="fr-FR"/>
        </w:rPr>
        <w:t>à une augmentation annuelle de 6,8 %</w:t>
      </w:r>
      <w:r w:rsidR="00A96993">
        <w:rPr>
          <w:lang w:val="fr-FR"/>
        </w:rPr>
        <w:t xml:space="preserve"> </w:t>
      </w:r>
      <w:r w:rsidRPr="002F70A2">
        <w:rPr>
          <w:lang w:val="fr-FR"/>
        </w:rPr>
        <w:t xml:space="preserve">au cours de la période 2024-2027. </w:t>
      </w:r>
    </w:p>
    <w:p w14:paraId="21EDDAB4" w14:textId="336025A3" w:rsidR="006D2306" w:rsidRPr="002F70A2" w:rsidRDefault="00BF5975">
      <w:pPr>
        <w:pStyle w:val="P68B1DB1-Normale4"/>
        <w:ind w:left="-284" w:right="-710"/>
        <w:jc w:val="both"/>
        <w:rPr>
          <w:lang w:val="fr-FR"/>
        </w:rPr>
      </w:pPr>
      <w:r w:rsidRPr="002F70A2">
        <w:rPr>
          <w:lang w:val="fr-FR"/>
        </w:rPr>
        <w:t xml:space="preserve">La variable démographique a encore plus d'influence sur le continent africain, si l'on admet que l’Afrique subsaharienne couvrira à elle seule 50 % de la croissance démographique mondiale en 2050. Le continent africain est dominé par le Nigeria, qui compte déjà 230 millions d'habitants et qui en comptera plus de 400 millions en 2050 (s'imposant comme le troisième pays le plus peuplé au monde), suivi de l'Éthiopie et de la République démocratique du Congo, tous deux nettement au-dessus des 100 millions d'habitants et destinés à une croissance spectaculaire au cours des vingt prochaines années, </w:t>
      </w:r>
      <w:r w:rsidR="00F25B97">
        <w:rPr>
          <w:lang w:val="fr-FR"/>
        </w:rPr>
        <w:t>qui les placera</w:t>
      </w:r>
      <w:r w:rsidRPr="002F70A2">
        <w:rPr>
          <w:lang w:val="fr-FR"/>
        </w:rPr>
        <w:t xml:space="preserve"> dans le top 10 des pays les plus peuplés de la planète.</w:t>
      </w:r>
    </w:p>
    <w:p w14:paraId="3CEBEEE7" w14:textId="77777777" w:rsidR="006D2306" w:rsidRPr="002F70A2" w:rsidRDefault="00BF5975">
      <w:pPr>
        <w:pStyle w:val="P68B1DB1-Normale4"/>
        <w:ind w:left="-284" w:right="-710"/>
        <w:jc w:val="both"/>
        <w:rPr>
          <w:lang w:val="fr-FR"/>
        </w:rPr>
      </w:pPr>
      <w:r w:rsidRPr="002F70A2">
        <w:rPr>
          <w:lang w:val="fr-FR"/>
        </w:rPr>
        <w:t>Au Nigéria, à peine 46 % des terres arables sont aujourd'hui utilisées - comme cela a été dit lors de la conférence - et en République démocratique du Congo, seulement 10 % des terres arables sont aujourd'hui utilisées pour l’agriculture, de sorte que la mise en production de nouveaux territoires représente une priorité pour ceux-ci comme pour d'autres pays du continent, avec une augmentation de la demande de technologies dans un avenir proche (d'ici 2027, l’importation de machines agricoles augmentera de 7 % par an en Éthiopie et de 12 % au Congo), mais plus encore au cours des vingt prochaines années.</w:t>
      </w:r>
    </w:p>
    <w:p w14:paraId="4238E0A5" w14:textId="77777777" w:rsidR="006D2306" w:rsidRPr="002F70A2" w:rsidRDefault="006D2306">
      <w:pPr>
        <w:ind w:left="-284" w:right="-710"/>
        <w:jc w:val="both"/>
        <w:rPr>
          <w:sz w:val="23"/>
          <w:lang w:val="fr-FR"/>
        </w:rPr>
      </w:pPr>
    </w:p>
    <w:p w14:paraId="763B532A" w14:textId="10AA1F18" w:rsidR="006D2306" w:rsidRPr="004D696C" w:rsidRDefault="00BF5975" w:rsidP="004D696C">
      <w:pPr>
        <w:pStyle w:val="P68B1DB1-Normale5"/>
        <w:ind w:left="-284" w:right="-710"/>
        <w:jc w:val="both"/>
        <w:rPr>
          <w:rFonts w:cs="Times New Roman"/>
          <w:lang w:val="fr-FR"/>
        </w:rPr>
      </w:pPr>
      <w:r w:rsidRPr="002F70A2">
        <w:rPr>
          <w:lang w:val="fr-FR"/>
        </w:rPr>
        <w:t>Bologne, le 5 novembre 2024</w:t>
      </w:r>
    </w:p>
    <w:sectPr w:rsidR="006D2306" w:rsidRPr="004D696C">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A477B" w14:textId="77777777" w:rsidR="00EC75E0" w:rsidRDefault="00EC75E0">
      <w:r>
        <w:separator/>
      </w:r>
    </w:p>
  </w:endnote>
  <w:endnote w:type="continuationSeparator" w:id="0">
    <w:p w14:paraId="0F41E133" w14:textId="77777777" w:rsidR="00EC75E0" w:rsidRDefault="00EC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ED059" w14:textId="77777777" w:rsidR="00EC75E0" w:rsidRDefault="00EC75E0">
      <w:r>
        <w:separator/>
      </w:r>
    </w:p>
  </w:footnote>
  <w:footnote w:type="continuationSeparator" w:id="0">
    <w:p w14:paraId="332FB9CF" w14:textId="77777777" w:rsidR="00EC75E0" w:rsidRDefault="00EC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2C9E213D" w:rsidR="006D2306" w:rsidRDefault="00BF5975">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CDF5A"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6D2306" w:rsidRDefault="00BF5975">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6D2306" w:rsidRDefault="00BF5975">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6402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C57EF"/>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2F70A2"/>
    <w:rsid w:val="003076AD"/>
    <w:rsid w:val="003241F7"/>
    <w:rsid w:val="00330ADB"/>
    <w:rsid w:val="00334379"/>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D696C"/>
    <w:rsid w:val="004E7D68"/>
    <w:rsid w:val="004F7D4D"/>
    <w:rsid w:val="0050493A"/>
    <w:rsid w:val="0050717F"/>
    <w:rsid w:val="0051665A"/>
    <w:rsid w:val="0052020C"/>
    <w:rsid w:val="00531CA3"/>
    <w:rsid w:val="005363D1"/>
    <w:rsid w:val="00541D2D"/>
    <w:rsid w:val="00560CC7"/>
    <w:rsid w:val="005646BB"/>
    <w:rsid w:val="005760BB"/>
    <w:rsid w:val="00577457"/>
    <w:rsid w:val="00581D2A"/>
    <w:rsid w:val="00592561"/>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0652"/>
    <w:rsid w:val="00643058"/>
    <w:rsid w:val="006601E7"/>
    <w:rsid w:val="00661945"/>
    <w:rsid w:val="006729A9"/>
    <w:rsid w:val="00677CC8"/>
    <w:rsid w:val="006810E8"/>
    <w:rsid w:val="00682974"/>
    <w:rsid w:val="00687D18"/>
    <w:rsid w:val="00690F03"/>
    <w:rsid w:val="006C0D12"/>
    <w:rsid w:val="006C3036"/>
    <w:rsid w:val="006C3D70"/>
    <w:rsid w:val="006C65AF"/>
    <w:rsid w:val="006D2306"/>
    <w:rsid w:val="006D68C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029A4"/>
    <w:rsid w:val="00922337"/>
    <w:rsid w:val="009234B5"/>
    <w:rsid w:val="00924547"/>
    <w:rsid w:val="0093426C"/>
    <w:rsid w:val="0093775C"/>
    <w:rsid w:val="0097010F"/>
    <w:rsid w:val="00970BE4"/>
    <w:rsid w:val="00971E4E"/>
    <w:rsid w:val="009913A8"/>
    <w:rsid w:val="009A1C8E"/>
    <w:rsid w:val="009C0F34"/>
    <w:rsid w:val="009C2022"/>
    <w:rsid w:val="009D0994"/>
    <w:rsid w:val="009F23FD"/>
    <w:rsid w:val="00A00A57"/>
    <w:rsid w:val="00A20F14"/>
    <w:rsid w:val="00A25511"/>
    <w:rsid w:val="00A40562"/>
    <w:rsid w:val="00A4130B"/>
    <w:rsid w:val="00A440F2"/>
    <w:rsid w:val="00A525E3"/>
    <w:rsid w:val="00A55BCB"/>
    <w:rsid w:val="00A6743F"/>
    <w:rsid w:val="00A734CB"/>
    <w:rsid w:val="00A76C82"/>
    <w:rsid w:val="00A770C2"/>
    <w:rsid w:val="00A8685C"/>
    <w:rsid w:val="00A96993"/>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BF5975"/>
    <w:rsid w:val="00C01744"/>
    <w:rsid w:val="00C03358"/>
    <w:rsid w:val="00C111DE"/>
    <w:rsid w:val="00C15314"/>
    <w:rsid w:val="00C16E54"/>
    <w:rsid w:val="00C21717"/>
    <w:rsid w:val="00C3470B"/>
    <w:rsid w:val="00C37925"/>
    <w:rsid w:val="00C41688"/>
    <w:rsid w:val="00C4482E"/>
    <w:rsid w:val="00C73E59"/>
    <w:rsid w:val="00C82FF3"/>
    <w:rsid w:val="00C83B9F"/>
    <w:rsid w:val="00C871ED"/>
    <w:rsid w:val="00C903D4"/>
    <w:rsid w:val="00C92828"/>
    <w:rsid w:val="00C93831"/>
    <w:rsid w:val="00CA1EB3"/>
    <w:rsid w:val="00CA2657"/>
    <w:rsid w:val="00CC1C6F"/>
    <w:rsid w:val="00CC47D8"/>
    <w:rsid w:val="00CD1D60"/>
    <w:rsid w:val="00CD3565"/>
    <w:rsid w:val="00CD3C7A"/>
    <w:rsid w:val="00CD55C8"/>
    <w:rsid w:val="00CF7C28"/>
    <w:rsid w:val="00CF7CB3"/>
    <w:rsid w:val="00D134AB"/>
    <w:rsid w:val="00D14B88"/>
    <w:rsid w:val="00D15837"/>
    <w:rsid w:val="00D406B4"/>
    <w:rsid w:val="00D4217A"/>
    <w:rsid w:val="00D54242"/>
    <w:rsid w:val="00D560A4"/>
    <w:rsid w:val="00D616AE"/>
    <w:rsid w:val="00D62DA1"/>
    <w:rsid w:val="00D6602B"/>
    <w:rsid w:val="00D722A1"/>
    <w:rsid w:val="00DA5860"/>
    <w:rsid w:val="00DC1CB4"/>
    <w:rsid w:val="00DE3A07"/>
    <w:rsid w:val="00DE4119"/>
    <w:rsid w:val="00DF254C"/>
    <w:rsid w:val="00E018ED"/>
    <w:rsid w:val="00E264AA"/>
    <w:rsid w:val="00E2650D"/>
    <w:rsid w:val="00E273DF"/>
    <w:rsid w:val="00E554B1"/>
    <w:rsid w:val="00E7611F"/>
    <w:rsid w:val="00E76A4B"/>
    <w:rsid w:val="00E80F2F"/>
    <w:rsid w:val="00E95EA3"/>
    <w:rsid w:val="00EA2B31"/>
    <w:rsid w:val="00EB3652"/>
    <w:rsid w:val="00EC5741"/>
    <w:rsid w:val="00EC75E0"/>
    <w:rsid w:val="00F1367E"/>
    <w:rsid w:val="00F25B97"/>
    <w:rsid w:val="00F46B54"/>
    <w:rsid w:val="00F50302"/>
    <w:rsid w:val="00F52270"/>
    <w:rsid w:val="00F53575"/>
    <w:rsid w:val="00F7014D"/>
    <w:rsid w:val="00F701F5"/>
    <w:rsid w:val="00F7049E"/>
    <w:rsid w:val="00F7699D"/>
    <w:rsid w:val="00F8241D"/>
    <w:rsid w:val="00F85B9C"/>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P68B1DB1-Normale1">
    <w:name w:val="P68B1DB1-Normale1"/>
    <w:basedOn w:val="Normale"/>
    <w:rPr>
      <w:rFonts w:cs="Times New Roman"/>
      <w:i/>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cs="Times New Roman"/>
      <w:sz w:val="23"/>
    </w:rPr>
  </w:style>
  <w:style w:type="paragraph" w:customStyle="1" w:styleId="P68B1DB1-Normale5">
    <w:name w:val="P68B1DB1-Normale5"/>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FEC4E-FC27-4417-B37C-AED708AA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652</Words>
  <Characters>3719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10</cp:revision>
  <cp:lastPrinted>2020-11-02T16:06:00Z</cp:lastPrinted>
  <dcterms:created xsi:type="dcterms:W3CDTF">2024-11-04T16:21:00Z</dcterms:created>
  <dcterms:modified xsi:type="dcterms:W3CDTF">2024-11-05T10:25:00Z</dcterms:modified>
</cp:coreProperties>
</file>